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2022年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平阳县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兴阳控股集团有限公司及下属子公司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关于公开招聘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人员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专业要求</w:t>
      </w: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一、酒店管理人员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旅游管理、旅游管理教育、旅游与资源管理等、酒店管理、涉外旅游、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旅行社经营与管理、国际旅游酒店管理、旅游、旅游管理与服务教育</w:t>
      </w:r>
      <w:r>
        <w:rPr>
          <w:rFonts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旅游管理（休闲与健康促进）、旅游管理（酒店管理专业）、旅游管理（会展经济与管理）、旅游管理（国际导游方向）、酒店管理（中美合作）、景区开发与管理、酒店管理（涉外导游方向）、旅游与酒店管理、旅游服务与管理、酒店管理（导游）、旅游管理与市场营销、旅游管理（酒店管理）、会展经济与管理、导游、国际旅游管理、旅游管理与服务、旅游管理与营销、旅游与管理、旅游管理（旅行社管理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二、文秘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汉语言文学、汉语言、对外汉语、中国语言文化、应用语言学、新闻学、编辑出版学、秘书学、历史学、汉语国际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教育、高级文秘、汉语言文学教育、文秘教育、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思想政治教育、法学、律师、法律、政治学与行政学、思想政治教育、政治学、社会学、社会工作、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力资源管理、劳动社会保障、劳动和社会保障、管理科学、管理学、管理科学与工程、公共政策学、公共关系学、行政管理、行政管理学、机关管理与办公自动化、公共事业管理、公共管理、党政管理、劳动与社会保障、行政管理、人力资源、经济与行政管理、信息管理与信息系统、企业管理、国际管理、工业工程、管理科学与工程人力资源管理方向、公共关系、工商企业管理、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商管理、管理学研究、信息系统与信息管理、城市管理、中小企业经营管理。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三、计算机人员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科学与技术、电子与计算机工程、空间信息与数字技术、计算机通信工程、电子商务、计算机及应用、计算机软件、软件工程、计算机应用软件、信息与计算科学、信息管理与信息系统、数字媒体技术、信息技术应用与管理、计算机科学与技术、电子信息工程、通信工程、计算机通信工程、计算机科学与技术、电子科学与技术、电子信息科学与技术、信息工程、信息显示与光电技术、电路与系统、集成电路设计与集成系统、电气信息工程、信息物理工程、智能科学与技术、信息安全、信息科学技术、微电子科学与工程、水声工程、信息管理与信息系统、信息技术应用与管理、会计信息技术、电子工程、电子信息技术、电子信息、应用电子技术教育、教育技术学、测控技术与仪器、信息对抗技术、网络工程、物联网工程、信息安全、计算机科学与技术、信息管理与信息系统、计算机网络技术、网络系统管理、计算机网络与安全管理、网站规划与开发技术、数据通信与网络系统、网络数字媒体、物联网应用技术、信息工程与网络技术、计算机网络管理、软件技术、软件测试技术、软件开发与项目管理、网络软件开发技术、软件外包服务、电子信息工程技术、应用电子技术、电子技术应用、电子测量技术与仪器、电子仪器仪表与维修、电子设备与运行管理、电子工艺与管理、信息安全、信息安全技术、计算机通信、通信网络与设备、通信系统运行管理、信息技术应用、电子商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</w:rPr>
        <w:t>讲解员</w:t>
      </w:r>
    </w:p>
    <w:p>
      <w:pPr>
        <w:ind w:firstLine="643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文学类：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</w:t>
      </w:r>
      <w:r>
        <w:rPr>
          <w:rFonts w:hint="eastAsia" w:ascii="仿宋_GB2312" w:eastAsia="仿宋_GB2312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中文方向</w:t>
      </w:r>
      <w:r>
        <w:rPr>
          <w:rFonts w:hint="eastAsia" w:ascii="仿宋_GB2312" w:eastAsia="仿宋_GB2312"/>
          <w:bCs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kern w:val="2"/>
          <w:sz w:val="32"/>
          <w:szCs w:val="32"/>
        </w:rPr>
        <w:t>、中国古代文学、中国少数民族语言文学、</w:t>
      </w:r>
      <w:r>
        <w:rPr>
          <w:rFonts w:hint="eastAsia" w:ascii="仿宋_GB2312" w:eastAsia="仿宋_GB2312"/>
          <w:sz w:val="32"/>
          <w:szCs w:val="32"/>
        </w:rPr>
        <w:t>比较文学与世界文学、</w:t>
      </w:r>
      <w:r>
        <w:rPr>
          <w:rFonts w:hint="eastAsia" w:ascii="仿宋_GB2312" w:eastAsia="仿宋_GB2312"/>
          <w:bCs/>
          <w:sz w:val="32"/>
          <w:szCs w:val="32"/>
        </w:rPr>
        <w:t>古代文学、汉语言文学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广告学方向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、汉语言文学（中文秘书方向）、汉语言文学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新闻传播方向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、中文师范、</w:t>
      </w:r>
      <w:r>
        <w:rPr>
          <w:rFonts w:hint="eastAsia" w:ascii="仿宋_GB2312" w:eastAsia="仿宋_GB2312" w:cs="Arial"/>
          <w:sz w:val="32"/>
          <w:szCs w:val="32"/>
        </w:rPr>
        <w:t>语言学及应用语言学、中国语言文学类文艺学专业、基础教育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（</w:t>
      </w:r>
      <w:r>
        <w:rPr>
          <w:rFonts w:hint="eastAsia" w:ascii="仿宋_GB2312" w:eastAsia="仿宋_GB2312" w:cs="Arial"/>
          <w:sz w:val="32"/>
          <w:szCs w:val="32"/>
        </w:rPr>
        <w:t>中文方向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）</w:t>
      </w:r>
      <w:r>
        <w:rPr>
          <w:rFonts w:hint="eastAsia" w:ascii="仿宋_GB2312" w:eastAsia="仿宋_GB2312" w:cs="Arial"/>
          <w:sz w:val="32"/>
          <w:szCs w:val="32"/>
        </w:rPr>
        <w:t>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文秘类：</w:t>
      </w:r>
      <w:r>
        <w:rPr>
          <w:rFonts w:hint="eastAsia" w:ascii="仿宋_GB2312" w:eastAsia="仿宋_GB2312" w:cs="仿宋_GB2312"/>
          <w:sz w:val="32"/>
          <w:szCs w:val="32"/>
        </w:rPr>
        <w:t>汉语言文学、汉语言、对外汉语、古典文献、中国语言文化、应用语言学、新闻学、广播电视新闻、广播电视编导、广播电视新闻学、广告学、编辑出版学、传播学、媒体创意、广播电视学、网络与新媒体、数字出版、秘书学、历史学、哲学、世界史、世界历史、汉语国际教育、高级文秘、汉语言文学教育、文秘教育、思想政治教育、新媒体与信息网络、播音与主持艺术、法学、知识产权、律师、知识产权法、民商法、法律、逻辑学、政治学与行政学、思想政治教育、政治学、经济学与哲学、社会学、社会工作、人力资源管理、劳动社会保障、劳动和社会保障、管理科学、管理学、管理科学与工程、公共政策学、公共关系学、行政管理、行政管理学、机关管理与办公自动化、公共事业管理、公共管理、党政管理、人力资源、经济与行政管理、信息管理与信息系统、企业管理、国际管理、管理科学与工程人力资源管理方向、公共关系、工商企业管理、工商管理、管理学研究、城市管理、中小企业经营管理、国际贸易学、国际经济、国际贸易、国际商务、国际商务学、国际商务管理、经济贸易、国际贸易与经济、国际贸易与实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旅游管理类：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旅游管理、旅游管理教育、旅游与资源管理等、酒店管理、涉外旅游、旅行社经营与管理、国际旅游酒店管理、旅游、旅游管理与服务教育</w:t>
      </w:r>
      <w:r>
        <w:rPr>
          <w:rFonts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旅游管理（休闲与健康促进）、旅游管理（酒店管理专业）、旅游管理（会展经济与管理）、旅游管理（国际导游方向）、酒店管理（中美合作）、景区开发与管理、酒店管理（涉外导游方向）、旅游与酒店管理、旅游服务与管理、酒店管理（导游）、旅游管理与市场营销、旅游管理（酒店管理）、会展经济与管理、导游、国际旅游管理、旅游管理与服务、旅游管理与营销、旅游与管理、旅游管理（旅行社管理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新闻传播学类：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播音与主持艺术、文化与传播、新闻传播学、播音与主持、新闻、大众传播、大众传播学、广播电视新闻学、新闻学和大众传媒、广播电视艺术学、编辑出版学、编辑出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历史学类：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历史学、世界史、世界历史、民族学、中国近现代史、中国古代史、历史学（师范）、历史学教育、中国近现代史、考古学、博物馆学、民族学、文物保护技术、史学理论与史学史、考古学及博物馆学、历史地理学、历史文献学、专门史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五、统计人员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会计学、财务管理、理财学、企业理财、审计学、会计电算化、财务会计教育、财务会计与教育、国际会计、会计与统计核算、工业（企业）会计、财务信息管理、会计、财务会计、管理会计、投资与理财、涉外财务、审计、财务会计与审计、工商管理（会计学）、网络会计、会计学（国际会计方向）、会计学（注册会计师方向）、财务管理（会计方向）、会计财务管理、工商管理（财务管理）、涉外会计、会计（涉外）、会计（涉外会计）、会计与审计、司法会计、会计学（财务会计）、资产评估与会计、财会、财会学、会计学（财务管理）、财务学、工商管理（审计学）、会计（注册会计师方向）、会计信息技术、财务管理学、工商管理会计方向、审计实务、会计学（CGA）、会计学（国际会计）、会计学（财务会计方向）、会计学（会计师方向）、会计学（中外）、会计与审计、财务会计（电算化）、财务会计（涉外方向）、审计实务（注册会计师方向）、会计专业、会计（税务方向）、会计学（财会方向）、会计学（CGA方向）、财务管理（资产评估方向）、财务管理专业、会计与金融专业、会计（中美合作）、会计学（ACCA）、会计学（注册会计专门化）、财务管理（国际金融）、财务管理（企业理财方向）、商务（金融与会计）、会计学（国际会计师ACCA）、企业财务管理、会计金融、理学会计、财务、 管理学会计、会计与统计、会计学（国际方向）、注册会计、会计学（金融会计）、会计（税务）、国际会计与财务管理、会计学（中美合作办学）、企业财务管理、会计学（注册会计师专门化）、注册会计师与审计、会计学（涉外会计方向）、投资理财、会计学(计算机复合)、财务管理（CPA方向）、工商管理（会计学与金融学方向）、财务管理（会计）、会计学（会计实务方向）、工商企业管理（会计方向）、工商管理（中澳合作办学国际商务——财务方向）、会计学（公司理财）、会计学（审计）、企业会计与税务方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jRlZDNhYWQyZGE3YTgzMzE5MzU2NDgwMWQ4M2QifQ=="/>
  </w:docVars>
  <w:rsids>
    <w:rsidRoot w:val="00000000"/>
    <w:rsid w:val="3B0E7025"/>
    <w:rsid w:val="634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3613</Words>
  <Characters>3628</Characters>
  <Lines>0</Lines>
  <Paragraphs>0</Paragraphs>
  <TotalTime>2</TotalTime>
  <ScaleCrop>false</ScaleCrop>
  <LinksUpToDate>false</LinksUpToDate>
  <CharactersWithSpaces>3631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西浦叙霖</cp:lastModifiedBy>
  <dcterms:modified xsi:type="dcterms:W3CDTF">2022-10-25T06:28:51Z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FBC1AEDE9F7247499785FEEDA5F76EC4</vt:lpwstr>
  </property>
</Properties>
</file>