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附件3</w:t>
      </w:r>
    </w:p>
    <w:p>
      <w:pPr>
        <w:jc w:val="center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方正小标宋简体" w:hAnsi="华文中宋" w:eastAsia="方正小标宋简体" w:cs="宋体"/>
          <w:color w:val="000000"/>
          <w:kern w:val="0"/>
          <w:sz w:val="40"/>
          <w:szCs w:val="40"/>
        </w:rPr>
        <w:t>平阳县赴高校公开招聘优秀毕业生学科（专业）对应专业目录</w:t>
      </w:r>
    </w:p>
    <w:tbl>
      <w:tblPr>
        <w:tblStyle w:val="3"/>
        <w:tblW w:w="14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0360"/>
        <w:gridCol w:w="2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05" w:type="dxa"/>
            <w:noWrap/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学科/专业</w:t>
            </w:r>
          </w:p>
        </w:tc>
        <w:tc>
          <w:tcPr>
            <w:tcW w:w="10360" w:type="dxa"/>
            <w:noWrap/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所 需 专 业 名 称</w:t>
            </w:r>
          </w:p>
        </w:tc>
        <w:tc>
          <w:tcPr>
            <w:tcW w:w="2940" w:type="dxa"/>
            <w:noWrap/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205" w:type="dxa"/>
            <w:noWrap/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语 文</w:t>
            </w:r>
          </w:p>
        </w:tc>
        <w:tc>
          <w:tcPr>
            <w:tcW w:w="10360" w:type="dxa"/>
            <w:noWrap w:val="0"/>
            <w:vAlign w:val="center"/>
          </w:tcPr>
          <w:p>
            <w:pPr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专业：汉语言文学、汉语言、汉语国际教育、古典文献学、应用语言学、秘书学、中国语言与文化；研究生专业：文艺学、语言学及应用语言学、汉语言文字学、中国古典文献学、中国古代文学、中国现当代文学、学科教学（语文）、课程与教学论（语文）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400" w:lineRule="exact"/>
              <w:jc w:val="left"/>
              <w:textAlignment w:val="auto"/>
              <w:rPr>
                <w:rFonts w:ascii="宋体" w:hAnsi="宋体" w:cs="Arial"/>
                <w:color w:val="333333"/>
                <w:kern w:val="0"/>
                <w:szCs w:val="21"/>
              </w:rPr>
            </w:pPr>
            <w:r>
              <w:rPr>
                <w:rFonts w:ascii="宋体" w:hAnsi="宋体" w:cs="Arial"/>
                <w:color w:val="333333"/>
                <w:kern w:val="0"/>
                <w:szCs w:val="21"/>
              </w:rPr>
              <w:t>本科专业为小学教育（师范）、研究生专业为小学教育（语文方向）均可报考小学语文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205" w:type="dxa"/>
            <w:noWrap/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 学</w:t>
            </w:r>
          </w:p>
        </w:tc>
        <w:tc>
          <w:tcPr>
            <w:tcW w:w="10360" w:type="dxa"/>
            <w:noWrap w:val="0"/>
            <w:vAlign w:val="center"/>
          </w:tcPr>
          <w:p>
            <w:pPr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本科专业：数学与应用数学、信息与计算科学、数理基础科学、数据计算及应用；研究生专业：基础数学、计算数学、概率论与数理统计、应用数学、运筹学与控制论、学科教学（数学）、课程与教学论（数学）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400" w:lineRule="exact"/>
              <w:jc w:val="left"/>
              <w:textAlignment w:val="auto"/>
              <w:rPr>
                <w:rFonts w:ascii="宋体" w:hAnsi="宋体" w:cs="Arial"/>
                <w:color w:val="333333"/>
                <w:kern w:val="0"/>
                <w:szCs w:val="21"/>
              </w:rPr>
            </w:pPr>
            <w:r>
              <w:rPr>
                <w:rFonts w:ascii="宋体" w:hAnsi="宋体" w:cs="Arial"/>
                <w:color w:val="333333"/>
                <w:kern w:val="0"/>
                <w:szCs w:val="21"/>
              </w:rPr>
              <w:t>本科专业为小学教育（师范）、研究生专业为小学教育（数学方向）均可报考小学数学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05" w:type="dxa"/>
            <w:noWrap/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英 语</w:t>
            </w:r>
          </w:p>
        </w:tc>
        <w:tc>
          <w:tcPr>
            <w:tcW w:w="10360" w:type="dxa"/>
            <w:noWrap w:val="0"/>
            <w:vAlign w:val="center"/>
          </w:tcPr>
          <w:p>
            <w:pPr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本科专业：英语、小学教育(师范)；研究生专业：英语语言文学、外国语言学及应用语言学、翻译、学科教学（英语）、课程与教学论（英语）、英语笔译、英语口译</w:t>
            </w:r>
          </w:p>
        </w:tc>
        <w:tc>
          <w:tcPr>
            <w:tcW w:w="2940" w:type="dxa"/>
            <w:noWrap/>
            <w:vAlign w:val="center"/>
          </w:tcPr>
          <w:p>
            <w:pPr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05" w:type="dxa"/>
            <w:noWrap/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 理</w:t>
            </w:r>
          </w:p>
        </w:tc>
        <w:tc>
          <w:tcPr>
            <w:tcW w:w="10360" w:type="dxa"/>
            <w:noWrap w:val="0"/>
            <w:vAlign w:val="center"/>
          </w:tcPr>
          <w:p>
            <w:pPr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专业：物理学、应用物理学、核物理、声学、系统科学与工程；研究生专业：理论物理、粒子物理与原子核物理、原子与分子物理、等离子体物理、凝聚态物理、声学、光学、无线电物理、学科教学（物理）、课程与教学论（物理）</w:t>
            </w:r>
          </w:p>
        </w:tc>
        <w:tc>
          <w:tcPr>
            <w:tcW w:w="2940" w:type="dxa"/>
            <w:vMerge w:val="restart"/>
            <w:noWrap w:val="0"/>
            <w:vAlign w:val="center"/>
          </w:tcPr>
          <w:p>
            <w:pPr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物理、化学、生物、科学教育可以报考初中科学；物理、化学、生物、科学教育、小学教育（科学）可以报考小学科学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05" w:type="dxa"/>
            <w:noWrap/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 学</w:t>
            </w:r>
          </w:p>
        </w:tc>
        <w:tc>
          <w:tcPr>
            <w:tcW w:w="10360" w:type="dxa"/>
            <w:noWrap w:val="0"/>
            <w:vAlign w:val="center"/>
          </w:tcPr>
          <w:p>
            <w:pPr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专业：化学、应用化学、化学生物学、分子科学与工程、能源化学；研究生专业：无机化学、分析化学、有机化学、物理化学（含化学物理）、高分子化学与物理、应用化学、学科教学（化学）、课程与教学论（化学）</w:t>
            </w:r>
          </w:p>
        </w:tc>
        <w:tc>
          <w:tcPr>
            <w:tcW w:w="2940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1205" w:type="dxa"/>
            <w:noWrap/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 物</w:t>
            </w:r>
          </w:p>
        </w:tc>
        <w:tc>
          <w:tcPr>
            <w:tcW w:w="10360" w:type="dxa"/>
            <w:noWrap w:val="0"/>
            <w:vAlign w:val="center"/>
          </w:tcPr>
          <w:p>
            <w:pPr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本科专业：生物科学、生物技术、生物信息学、生态学、整合科学、神经科学；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研究生专业：植物学、动物学、生理学、微生物学、遗传学、细胞生物学、生态学、学科教学（生物）、课程与教学论（生物）</w:t>
            </w:r>
          </w:p>
        </w:tc>
        <w:tc>
          <w:tcPr>
            <w:tcW w:w="2940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spacing w:line="100" w:lineRule="exact"/>
        <w:rPr>
          <w:rFonts w:hint="eastAsia" w:ascii="黑体" w:hAnsi="黑体" w:eastAsia="黑体" w:cs="仿宋"/>
          <w:sz w:val="32"/>
          <w:szCs w:val="32"/>
        </w:rPr>
      </w:pPr>
    </w:p>
    <w:tbl>
      <w:tblPr>
        <w:tblStyle w:val="3"/>
        <w:tblW w:w="14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0360"/>
        <w:gridCol w:w="2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05" w:type="dxa"/>
            <w:noWrap/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学科/专业</w:t>
            </w:r>
          </w:p>
        </w:tc>
        <w:tc>
          <w:tcPr>
            <w:tcW w:w="10360" w:type="dxa"/>
            <w:noWrap/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所 需 专 业 名 称</w:t>
            </w:r>
          </w:p>
        </w:tc>
        <w:tc>
          <w:tcPr>
            <w:tcW w:w="2940" w:type="dxa"/>
            <w:noWrap/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205" w:type="dxa"/>
            <w:noWrap/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 治</w:t>
            </w:r>
          </w:p>
        </w:tc>
        <w:tc>
          <w:tcPr>
            <w:tcW w:w="10360" w:type="dxa"/>
            <w:noWrap w:val="0"/>
            <w:vAlign w:val="center"/>
          </w:tcPr>
          <w:p>
            <w:pPr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本科专业：思想政治教育、政治学与行政学、国际政治、国际事务与国际关系、政治学、经济学与哲学、科学社会主义、中国共产党历史、马克思主义理论、哲学；  研究生专业：政治学理论、科学社会主义与国际共产主义运动、中共党史、国际政治、马克思主义基本原理、马克思主义发展史、马克思主义中国化研究、国外马克思主义研究、思想政治教育、学科教学（思政）、课程与教学论（思政）</w:t>
            </w:r>
          </w:p>
        </w:tc>
        <w:tc>
          <w:tcPr>
            <w:tcW w:w="2940" w:type="dxa"/>
            <w:vMerge w:val="restart"/>
            <w:noWrap w:val="0"/>
            <w:vAlign w:val="center"/>
          </w:tcPr>
          <w:p>
            <w:pPr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政治、历史、地理可以报考初中社会与法治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05" w:type="dxa"/>
            <w:noWrap/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历 史</w:t>
            </w:r>
          </w:p>
        </w:tc>
        <w:tc>
          <w:tcPr>
            <w:tcW w:w="10360" w:type="dxa"/>
            <w:noWrap w:val="0"/>
            <w:vAlign w:val="center"/>
          </w:tcPr>
          <w:p>
            <w:pPr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专业：历史学、世界史、考古学、外国语言与外国历史、文化遗产、人文教育；研究生专业：史学理论及史学史、历史地理学、历史文献学、专门史、中国古代史、中国近现代史、世界史、中国史、学科教学（历史）、课程与教学论（历史）</w:t>
            </w:r>
          </w:p>
        </w:tc>
        <w:tc>
          <w:tcPr>
            <w:tcW w:w="2940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05" w:type="dxa"/>
            <w:noWrap/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 理</w:t>
            </w:r>
          </w:p>
        </w:tc>
        <w:tc>
          <w:tcPr>
            <w:tcW w:w="10360" w:type="dxa"/>
            <w:noWrap w:val="0"/>
            <w:vAlign w:val="center"/>
          </w:tcPr>
          <w:p>
            <w:pPr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本科专业：地理科学、自然地理与资源环境、人文地理与城乡规划、地理信息科学；研究生专业：自然地理学、人文地理学、地图学与地理信息系统、环境地理学、学科教学（地理）、课程与教学论（地理）</w:t>
            </w:r>
          </w:p>
        </w:tc>
        <w:tc>
          <w:tcPr>
            <w:tcW w:w="2940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205" w:type="dxa"/>
            <w:noWrap/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 乐</w:t>
            </w:r>
          </w:p>
        </w:tc>
        <w:tc>
          <w:tcPr>
            <w:tcW w:w="10360" w:type="dxa"/>
            <w:noWrap w:val="0"/>
            <w:vAlign w:val="center"/>
          </w:tcPr>
          <w:p>
            <w:pPr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专业：音乐学、音乐表演、音乐教育、艺术教育、作曲与作曲技术理论、舞蹈学、舞蹈表演、舞蹈编导、舞蹈教育、流行音乐、音乐治疗、流行舞蹈、表演、戏剧学、播音与主持艺术、戏剧影视文学、戏剧教育；  研究生专业：音乐学、舞蹈学、音乐与舞蹈学</w:t>
            </w:r>
          </w:p>
        </w:tc>
        <w:tc>
          <w:tcPr>
            <w:tcW w:w="2940" w:type="dxa"/>
            <w:noWrap/>
            <w:vAlign w:val="center"/>
          </w:tcPr>
          <w:p>
            <w:pPr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205" w:type="dxa"/>
            <w:noWrap/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体 育</w:t>
            </w:r>
          </w:p>
        </w:tc>
        <w:tc>
          <w:tcPr>
            <w:tcW w:w="10360" w:type="dxa"/>
            <w:noWrap w:val="0"/>
            <w:vAlign w:val="center"/>
          </w:tcPr>
          <w:p>
            <w:pPr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专业：体育教育、运动训练、社会体育指导与管理、武术与民族传统体育、运动人体科学、运动康复、休闲体育、体能训练、冰雪运动、智能体育工程、体育旅游、运动能力开发；研究生专业：体育人文社会学、运动人体科学、体育教育训练学、民族传统体育学、武术与民族传统体育、体育教学、运动训练</w:t>
            </w:r>
          </w:p>
        </w:tc>
        <w:tc>
          <w:tcPr>
            <w:tcW w:w="2940" w:type="dxa"/>
            <w:noWrap/>
            <w:vAlign w:val="center"/>
          </w:tcPr>
          <w:p>
            <w:pPr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205" w:type="dxa"/>
            <w:noWrap/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 术</w:t>
            </w:r>
          </w:p>
        </w:tc>
        <w:tc>
          <w:tcPr>
            <w:tcW w:w="10360" w:type="dxa"/>
            <w:noWrap w:val="0"/>
            <w:vAlign w:val="center"/>
          </w:tcPr>
          <w:p>
            <w:pPr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专业：美术学、绘画、雕塑、摄影、书法学、中国画、实验艺术、跨媒体艺术、文物保护与修复、漫画、视觉传达设计、环境设计、产品设计、服装与服饰设计、工艺美术、公共艺术、艺术与科技、陶瓷艺术设计、包装设计、数字媒体艺术、艺术设计学；研究生专业：美术学、设计艺术学</w:t>
            </w:r>
          </w:p>
        </w:tc>
        <w:tc>
          <w:tcPr>
            <w:tcW w:w="2940" w:type="dxa"/>
            <w:noWrap/>
            <w:vAlign w:val="center"/>
          </w:tcPr>
          <w:p>
            <w:pPr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05" w:type="dxa"/>
            <w:noWrap/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信息技术</w:t>
            </w:r>
          </w:p>
        </w:tc>
        <w:tc>
          <w:tcPr>
            <w:tcW w:w="10360" w:type="dxa"/>
            <w:noWrap w:val="0"/>
            <w:vAlign w:val="center"/>
          </w:tcPr>
          <w:p>
            <w:pPr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本科专业：计算机科学与技术（师范）、教育技术学（师范）；研究生专业：计算机系统结构、计算机应用技术、计算机技术、系统工程、计算机软件与理论、现代教育技术</w:t>
            </w:r>
          </w:p>
        </w:tc>
        <w:tc>
          <w:tcPr>
            <w:tcW w:w="2940" w:type="dxa"/>
            <w:noWrap/>
            <w:vAlign w:val="center"/>
          </w:tcPr>
          <w:p>
            <w:pPr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spacing w:line="100" w:lineRule="exact"/>
        <w:rPr>
          <w:rFonts w:hint="eastAsia" w:ascii="黑体" w:hAnsi="黑体" w:eastAsia="黑体" w:cs="仿宋"/>
          <w:sz w:val="32"/>
          <w:szCs w:val="32"/>
        </w:rPr>
      </w:pPr>
    </w:p>
    <w:tbl>
      <w:tblPr>
        <w:tblStyle w:val="3"/>
        <w:tblW w:w="14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0360"/>
        <w:gridCol w:w="2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05" w:type="dxa"/>
            <w:noWrap/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学科/专业</w:t>
            </w:r>
          </w:p>
        </w:tc>
        <w:tc>
          <w:tcPr>
            <w:tcW w:w="10360" w:type="dxa"/>
            <w:noWrap/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所 需 专 业 名 称</w:t>
            </w:r>
          </w:p>
        </w:tc>
        <w:tc>
          <w:tcPr>
            <w:tcW w:w="2940" w:type="dxa"/>
            <w:noWrap/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1205" w:type="dxa"/>
            <w:noWrap/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通用技术</w:t>
            </w:r>
          </w:p>
        </w:tc>
        <w:tc>
          <w:tcPr>
            <w:tcW w:w="10360" w:type="dxa"/>
            <w:noWrap w:val="0"/>
            <w:vAlign w:val="center"/>
          </w:tcPr>
          <w:p>
            <w:pPr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专业：电子信息工程、电子科学与技术、通信工程、微电子科学与工程、光电信息科学与工程、信息工程、广播电视工程、电子封装技术、集成电路设计与集成系统、电子信息科学与技术、应用电子技术教育、人工智能、教育技术学（师范）、计算机科学与技术（师范）、机电技术教育、汽车维修工程教育、物理学（师范）、通用技术；研究生专业：机械工程、电子科学与技术、控制科学与工程、机械制造及其自动化、导航制导与控制、职业技术教育学、教育技术学、科学与技术教育</w:t>
            </w:r>
          </w:p>
        </w:tc>
        <w:tc>
          <w:tcPr>
            <w:tcW w:w="2940" w:type="dxa"/>
            <w:noWrap/>
            <w:vAlign w:val="center"/>
          </w:tcPr>
          <w:p>
            <w:pPr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05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特殊教育</w:t>
            </w:r>
          </w:p>
        </w:tc>
        <w:tc>
          <w:tcPr>
            <w:tcW w:w="10360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专科专业：特殊教育（师范）；本科专业：特殊教育（师范）；研究生专业：特殊教育</w:t>
            </w:r>
          </w:p>
        </w:tc>
        <w:tc>
          <w:tcPr>
            <w:tcW w:w="2940" w:type="dxa"/>
            <w:noWrap/>
            <w:vAlign w:val="center"/>
          </w:tcPr>
          <w:p>
            <w:pPr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0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学前教育   </w:t>
            </w:r>
          </w:p>
        </w:tc>
        <w:tc>
          <w:tcPr>
            <w:tcW w:w="10360" w:type="dxa"/>
            <w:shd w:val="clear" w:color="auto" w:fill="FFFFFF"/>
            <w:noWrap/>
            <w:vAlign w:val="center"/>
          </w:tcPr>
          <w:p>
            <w:pPr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本科专业：学前教育（师范）；研究生专业：学前教育（幼儿教育）</w:t>
            </w:r>
          </w:p>
        </w:tc>
        <w:tc>
          <w:tcPr>
            <w:tcW w:w="2940" w:type="dxa"/>
            <w:noWrap/>
            <w:vAlign w:val="center"/>
          </w:tcPr>
          <w:p>
            <w:pPr>
              <w:spacing w:line="400" w:lineRule="exact"/>
              <w:jc w:val="left"/>
              <w:textAlignment w:val="auto"/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05" w:type="dxa"/>
            <w:noWrap/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0360" w:type="dxa"/>
            <w:noWrap/>
            <w:vAlign w:val="center"/>
          </w:tcPr>
          <w:p>
            <w:pPr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电子商务、电子商务及法律、跨境电子商务、电子商务物流、国际商务</w:t>
            </w:r>
          </w:p>
        </w:tc>
        <w:tc>
          <w:tcPr>
            <w:tcW w:w="2940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职高专业课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05" w:type="dxa"/>
            <w:noWrap/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</w:t>
            </w:r>
          </w:p>
        </w:tc>
        <w:tc>
          <w:tcPr>
            <w:tcW w:w="10360" w:type="dxa"/>
            <w:noWrap w:val="0"/>
            <w:vAlign w:val="center"/>
          </w:tcPr>
          <w:p>
            <w:pPr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机械电子工程、机械设计制造及其自动化、机械工程、工业设计、机器人工程、智能制造工程、自动化、电子信息工程、集成电路设计与集成系统、电机电器智能化、电子科学与技术</w:t>
            </w:r>
          </w:p>
        </w:tc>
        <w:tc>
          <w:tcPr>
            <w:tcW w:w="2940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1205" w:type="dxa"/>
            <w:noWrap/>
            <w:vAlign w:val="center"/>
          </w:tcPr>
          <w:p>
            <w:pPr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软件与信息服务</w:t>
            </w:r>
          </w:p>
        </w:tc>
        <w:tc>
          <w:tcPr>
            <w:tcW w:w="10360" w:type="dxa"/>
            <w:noWrap w:val="0"/>
            <w:vAlign w:val="center"/>
          </w:tcPr>
          <w:p>
            <w:pPr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专业：计算机科学与技术、教育技术学、计算机应用技术、网络工程、计算机网络工程、软件工程、网络与信息安全、物联网工程、电子信息工程、电子科学与技术、信息工程计算机科学与技术、数字媒体技术、智能科学与技术、空间信息与数字技术、电子与计算机工程、数据科学与大数据技术、网络空间安全、新媒体技术、电影制作、保密技术、虚拟现实技术、区块链工程；                                                                                                  研究生专业：计算机科学与技术、计算机系统结构、计算机应用技术、计算机技术、系统工程、计算机软件与理论、现代教育技术、电子科学与技术、控制科学与工程、导航制导与控制、职业技术教育学、教育技术学、科学与技术教育、通信与信息系统、信号与信息处理、控制理论与控制工程、检测技术与自动化装置、信息与通信工程</w:t>
            </w:r>
          </w:p>
        </w:tc>
        <w:tc>
          <w:tcPr>
            <w:tcW w:w="2940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ascii="黑体" w:hAnsi="黑体" w:eastAsia="黑体" w:cs="仿宋"/>
          <w:sz w:val="32"/>
          <w:szCs w:val="32"/>
        </w:rPr>
        <w:sectPr>
          <w:pgSz w:w="16838" w:h="11906" w:orient="landscape"/>
          <w:pgMar w:top="1418" w:right="1418" w:bottom="1134" w:left="1418" w:header="851" w:footer="992" w:gutter="0"/>
          <w:cols w:space="720" w:num="1"/>
          <w:docGrid w:type="linesAndChar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7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2021-10-14T02:19:02Z</dcterms:created>
  <dc:creator>Administrator</dc:creator>
  <cp:lastModifiedBy>请叫我小金瓜</cp:lastModifiedBy>
  <dcterms:modified xsi:type="dcterms:W3CDTF">2021-10-14T02:19:43Z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54C91A966D57439CAD8AA1D47AF83B36</vt:lpwstr>
  </property>
</Properties>
</file>